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E" w:rsidRPr="0058201E" w:rsidRDefault="0058201E" w:rsidP="0058201E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ИРБИТ - ТУРИНСК</w:t>
      </w:r>
      <w:r w:rsidRPr="0058201E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+ горячие источники "Акварель" г. Туринск 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</w:p>
    <w:p w:rsidR="0058201E" w:rsidRPr="0058201E" w:rsidRDefault="0058201E" w:rsidP="0058201E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266825"/>
            <wp:effectExtent l="19050" t="0" r="0" b="0"/>
            <wp:docPr id="1" name="Рисунок 1" descr="http://www.pcot.ru/jpg/0_6494a_7b603ab5_XL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g/0_6494a_7b603ab5_XL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504950"/>
            <wp:effectExtent l="19050" t="0" r="0" b="0"/>
            <wp:docPr id="2" name="Рисунок 2" descr="http://www.pcot.ru/jpg/21_1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g/21_1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362075"/>
            <wp:effectExtent l="19050" t="0" r="0" b="0"/>
            <wp:docPr id="3" name="Рисунок 3" descr="http://www.pcot.ru/jpg/16088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g/16088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428750"/>
            <wp:effectExtent l="19050" t="0" r="0" b="0"/>
            <wp:docPr id="4" name="Рисунок 4" descr="http://www.pcot.ru/jpg/15161_20100830_190325_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ru/jpg/15161_20100830_190325_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266825"/>
            <wp:effectExtent l="19050" t="0" r="0" b="0"/>
            <wp:docPr id="5" name="Рисунок 5" descr="http://www.pcot.ru/jpg/dia83_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ot.ru/jpg/dia83_sma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266825"/>
            <wp:effectExtent l="19050" t="0" r="0" b="0"/>
            <wp:docPr id="6" name="Рисунок 6" descr="http://www.pcot.ru/jpg/turinsk-6_smal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cot.ru/jpg/turinsk-6_smal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www.pcot.ru/jpg/irbit2_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cot.ru/jpg/irbit2_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428750"/>
            <wp:effectExtent l="19050" t="0" r="0" b="0"/>
            <wp:docPr id="8" name="Рисунок 8" descr="http://www.pcot.ru/jpg/38_original_small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cot.ru/jpg/38_original_small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038225"/>
            <wp:effectExtent l="19050" t="0" r="0" b="0"/>
            <wp:docPr id="9" name="Рисунок 9" descr="http://www.pcot.ru/jpg/1_21_image_small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cot.ru/jpg/1_21_image_small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428750"/>
            <wp:effectExtent l="19050" t="0" r="0" b="0"/>
            <wp:docPr id="10" name="Рисунок 10" descr="http://www.pcot.ru/jpg/1_38_image_small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cot.ru/jpg/1_38_image_smal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133475"/>
            <wp:effectExtent l="19050" t="0" r="0" b="0"/>
            <wp:docPr id="11" name="Рисунок 11" descr="http://www.pcot.ru/jpg/1_29_image_small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cot.ru/jpg/1_29_image_small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066800"/>
            <wp:effectExtent l="19050" t="0" r="0" b="0"/>
            <wp:docPr id="12" name="Рисунок 12" descr="http://www.pcot.ru/jpg/1_zakrytyy_small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cot.ru/jpg/1_zakrytyy_small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038225"/>
            <wp:effectExtent l="19050" t="0" r="0" b="0"/>
            <wp:docPr id="13" name="Рисунок 13" descr="http://www.pcot.ru/jpg/1_Kafe_small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cot.ru/jpg/1_Kafe_small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038225"/>
            <wp:effectExtent l="19050" t="0" r="0" b="0"/>
            <wp:docPr id="14" name="Рисунок 14" descr="http://www.pcot.ru/jpg/1_BIO_small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cot.ru/jpg/1_BIO_small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1905000" cy="1038225"/>
            <wp:effectExtent l="19050" t="0" r="0" b="0"/>
            <wp:docPr id="15" name="Рисунок 15" descr="http://www.pcot.ru/jpg/1_Gornyy_ruchey_small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cot.ru/jpg/1_Gornyy_ruchey_small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01E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      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    Термальный комплекс “Акварель” стал визитной карточкой города Туринска. Гидроминеральной базой комплекса является вода скважины, пробуренной геологической группой в 1956 году на глубину 1288 метров во время поисков нефти. Целебная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туринская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вода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оказывает положительное воздействие на организм человека и исцеляет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 многих недугов. Здесь два бассейна: открытый и закрытый. Температура в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бассейне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35-38 градусов. Минеральная вода скважины 1Р Туринского месторождения с 1957 г. используется для наружного применения  и в лечебно - питьевых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целях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 результатам проведенного анализа по основному составу и минерализации вода скважины 1Р классифицируется как хлоридная натриевая минеральная вода средней минерализации. Из биологических активных компонентов в больших  концентрациях в воде содержатся БРОМ, ЙОД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ОРТОБОРНАЯ КИСЛОТА. органическое вещество – ПЕРМАНГАНАТ. Принимая во внимание содержание в воде биологически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активных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БРОМА, ЙОДА, ОРТОБОРНОЙ КИСЛОТЫ и МАРГАНЦА минеральная вода скважины 1Р Туринского месторождения имеет желтоватый оттенок  с  естественным осадком и йодистым запахом с возможностью окрашивания.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Посещение банного комплекса входит в стоимость. А комплекс этот уникальный и разнообразный: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хамам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финская сауна, солевая сауна,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био-сауна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горный ручей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b/>
          <w:bCs/>
          <w:color w:val="FF6600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FF6600"/>
          <w:sz w:val="27"/>
          <w:lang w:eastAsia="ru-RU"/>
        </w:rPr>
        <w:t>Продолжительность:</w:t>
      </w:r>
      <w:r w:rsidRPr="0058201E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 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2 ночи + 1 день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b/>
          <w:bCs/>
          <w:color w:val="FF6600"/>
          <w:sz w:val="27"/>
          <w:lang w:eastAsia="ru-RU"/>
        </w:rPr>
        <w:t>Программа тура: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23.00 час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Выезд из Перми с ул. Ленина, 53 ("Театр-театр")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07.30 час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Прибытие в город Ирбит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07.30-08.00 час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t>Посещение церкви Веры, Надежды, Любови и матери их Софии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08.15-09.00 час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t> Завтрак в кафе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09.00 - 10.30 час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 Посещение с экскурсионным обслуживанием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Ирбитского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государственного музея мотоциклов. Музей открыт совсем недавно, в 2004 году благодаря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Ирбитскому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мотоциклетному заводу. Но здесь не только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отечественная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мототехника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, но и мотоциклы США, Германии, Японии, Англии. Такого Вы ещё не видели - рекомендуем - очень интересно!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10.30 - 11.30 час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Обзорная экскурсия по Ирбиту. В городе сохранилось множество старинных домов второй половины 19-начало 20 веков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-п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амятников архитектуры. Их количество в </w:t>
      </w:r>
      <w:proofErr w:type="spellStart"/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Ирбите-самое</w:t>
      </w:r>
      <w:proofErr w:type="spellEnd"/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большое среди всех городов Свердловской области (за исключением Екатеринбурга).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11.30 - 13.00 час 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Переезд в город Туринск - когда-то столицу Сибирского ханства "Епанчин-юрт". Сейчас это небольшой городок, сохранивший память о минувших днях. История богатая и интересная. Здесь произошло знаменитое сражение Ермака и татарского князя Епанчи. Этот факт привлёк внимание Пушкина и Сурикова. А воеводами здесь были Борис Годунов, Иван Годунов, Данила Милославский, Василий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Трегубов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..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.д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а что рассказывать: это нужно видеть и слышать самим. Приглашаем!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13.00 - 16.00 час 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Экскурсионно-развлекательно-познавательная программа в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Туринске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. Мы посетим Туринский дом-музей декабристов общероссийского значения. И конечно обзорная экскурсия по Туринску с посещением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Свято-Николаевского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женского монастыря (при условии, что он открыт).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16.00 - 16.30 час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И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 xml:space="preserve"> после насыщенной программы, мы отправляемся отдыхать на горячие источники. 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17.00 - 22.00 час</w:t>
      </w:r>
      <w:r w:rsidRPr="0058201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  <w:t> Обед в кафе на источниках (за доп. плату). Посещение горячего источника "Акварель". 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Термальный комплекс “Акварель” стал визитной карточкой города Туринска. Гидроминеральной базой комплекса является вода скважины, пробуренной геологической группой в 1956 году на глубину 1288 метров во время поисков нефти. Целебная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туринская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вода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оказывает положительное воздействие на организм человека и исцеляет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 многих недугов. Здесь два бассейна: открытый и закрытый. Температура в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бассейне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35-38 градусов. Минеральная вода скважины 1Р Туринского месторождения с 1957 г. используется для наружного применения  и в лечебно - питьевых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целях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 результатам проведенного анализа по основному составу и минерализации вода скважины 1Р классифицируется как хлоридная натриевая минеральная вода средней минерализации. Из биологических активных компонентов в больших  концентрациях в воде содержатся БРОМ, ЙОД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,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ОРТОБОРНАЯ КИСЛОТА. органическое вещество – ПЕРМАНГАНАТ. Принимая во внимание содержание в воде биологически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активных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БРОМА, ЙОДА, ОРТОБОРНОЙ КИСЛОТЫ и МАРГАНЦА минеральная вода скважины 1Р Туринского месторождения имеет желтоватый оттенок  с  естественным осадком и йодистым запахом с возможностью окрашивания.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Посещение банного комплекса входит в стоимость. А комплекс этот уникальный и разнообразный: 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ХАМАМ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дает чувство легкости во всем теле, поднимает настроение и помогает обрести душевное равновесие.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Способствует нормализации работы сердца и улучшает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состояние сосудов. Помогает при лечении дыхательных путей, простуды и многих других болезней. Посещение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хамама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способствует омоложению кожи и помогает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бороться с проблемами лишнего веса.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ФИНСКАЯ САУНА - стимулирует кровоснабжение слизистых оболочек дыхательных путей. Жар ускоряет и улучшает обменные процессы в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организме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выводит шлаки и токсины. Повышается тонус и эластичность мышц. Оказывает благотворное воздействие на вегетативную систему.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СОЛЕВАЯ САУНА (из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кристалов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гималайской соли) - бактерицидные свойства гималайской соли являются хорошей профилактикой инфекционных и простудных заболеваний, ангины и гайморита. Оказывает ярко выраженное лечебное воздействие на дыхательные пути, рекомендуется людям с различными легочными заболеваниями: бронхиальная астма, бронхиты, риниты, пневмонии.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БИО-САУНА - лечебное воздействие горячего пара дополняется современными технологиями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ароматерапии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</w:t>
      </w:r>
      <w:proofErr w:type="spell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цветотерапии</w:t>
      </w:r>
      <w:proofErr w:type="spell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рассчитанное на комплексное влияние на организм человека и обеспечивая поразительные результаты оздоровления, омоложения и гарантированного восстановления сил и энергии человека.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ГОРНЫЙ РУЧЕЙ - активный массаж стоп приносит расслабление для всего организма, снимает напряжение и возвращает тонус, помогает </w:t>
      </w:r>
      <w:proofErr w:type="gramStart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справится</w:t>
      </w:r>
      <w:proofErr w:type="gramEnd"/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усталостью и стрессом. Хождение босиком по ручью стимулирует все биологические точки на стопах, дает большой прилив бодрости, способствует долголетию.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22.00 час</w:t>
      </w:r>
      <w:r w:rsidRPr="005820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Выезд в Пермь, отдыхаем.</w:t>
      </w:r>
      <w:r w:rsidRPr="0058201E">
        <w:rPr>
          <w:rFonts w:ascii="Arial" w:eastAsia="Times New Roman" w:hAnsi="Arial" w:cs="Arial"/>
          <w:color w:val="4D5464"/>
          <w:sz w:val="27"/>
          <w:szCs w:val="27"/>
          <w:lang w:eastAsia="ru-RU"/>
        </w:rPr>
        <w:br/>
      </w:r>
      <w:r w:rsidRPr="0058201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07.00 час</w:t>
      </w:r>
      <w:r w:rsidRPr="005820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Прибытие в Пермь</w:t>
      </w:r>
    </w:p>
    <w:tbl>
      <w:tblPr>
        <w:tblW w:w="79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088"/>
        <w:gridCol w:w="4892"/>
      </w:tblGrid>
      <w:tr w:rsidR="0058201E" w:rsidRPr="0058201E" w:rsidTr="0058201E">
        <w:trPr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b/>
                <w:bCs/>
                <w:color w:val="4D5464"/>
                <w:sz w:val="27"/>
                <w:lang w:eastAsia="ru-RU"/>
              </w:rPr>
              <w:t>Категория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b/>
                <w:bCs/>
                <w:color w:val="4D5464"/>
                <w:sz w:val="27"/>
                <w:lang w:eastAsia="ru-RU"/>
              </w:rPr>
              <w:t>Источник «Акварель»</w:t>
            </w:r>
          </w:p>
        </w:tc>
      </w:tr>
      <w:tr w:rsidR="0058201E" w:rsidRPr="0058201E" w:rsidTr="0058201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58201E">
              <w:rPr>
                <w:rFonts w:ascii="Arial" w:eastAsia="Times New Roman" w:hAnsi="Arial" w:cs="Arial"/>
                <w:b/>
                <w:bCs/>
                <w:color w:val="4D5464"/>
                <w:sz w:val="27"/>
                <w:lang w:eastAsia="ru-RU"/>
              </w:rPr>
              <w:t>Пт-вс</w:t>
            </w:r>
            <w:proofErr w:type="spellEnd"/>
          </w:p>
        </w:tc>
      </w:tr>
      <w:tr w:rsidR="0058201E" w:rsidRPr="0058201E" w:rsidTr="0058201E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3 800 руб.</w:t>
            </w:r>
          </w:p>
        </w:tc>
      </w:tr>
      <w:tr w:rsidR="0058201E" w:rsidRPr="0058201E" w:rsidTr="0058201E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Пенсионеры, студенты, школьники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3 700 руб.</w:t>
            </w:r>
          </w:p>
        </w:tc>
      </w:tr>
      <w:tr w:rsidR="0058201E" w:rsidRPr="0058201E" w:rsidTr="0058201E">
        <w:trPr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до 10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58201E" w:rsidRPr="0058201E" w:rsidRDefault="0058201E" w:rsidP="0058201E">
            <w:pPr>
              <w:spacing w:before="150" w:after="30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58201E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3 150 руб.</w:t>
            </w:r>
          </w:p>
        </w:tc>
      </w:tr>
    </w:tbl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p w:rsidR="0058201E" w:rsidRPr="0058201E" w:rsidRDefault="0058201E" w:rsidP="0058201E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58201E">
        <w:rPr>
          <w:rFonts w:ascii="Arial" w:eastAsia="Times New Roman" w:hAnsi="Arial" w:cs="Arial"/>
          <w:b/>
          <w:bCs/>
          <w:color w:val="FF6600"/>
          <w:sz w:val="27"/>
          <w:lang w:eastAsia="ru-RU"/>
        </w:rPr>
        <w:t>В стоимость включено: </w:t>
      </w:r>
      <w:r w:rsidRPr="0058201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проезд на комфортабельном автобусе, экскурсионная программа, питание - завтрак, посещение источника 5 часов, сопровождение гидом, входные билеты.</w:t>
      </w:r>
    </w:p>
    <w:p w:rsidR="002A5A75" w:rsidRDefault="002A5A75"/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201E"/>
    <w:rsid w:val="002A5A75"/>
    <w:rsid w:val="0058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1E"/>
    <w:rPr>
      <w:b/>
      <w:bCs/>
    </w:rPr>
  </w:style>
  <w:style w:type="character" w:styleId="a5">
    <w:name w:val="Hyperlink"/>
    <w:basedOn w:val="a0"/>
    <w:uiPriority w:val="99"/>
    <w:semiHidden/>
    <w:unhideWhenUsed/>
    <w:rsid w:val="0058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1608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cot.ru/jpg/38_original.jpg" TargetMode="External"/><Relationship Id="rId26" Type="http://schemas.openxmlformats.org/officeDocument/2006/relationships/hyperlink" Target="http://www.pcot.ru/jpg/1_zakrytyy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cot.ru/jpg/dia8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pcot.ru/jpg/irbit2.jpg" TargetMode="External"/><Relationship Id="rId20" Type="http://schemas.openxmlformats.org/officeDocument/2006/relationships/hyperlink" Target="http://www.pcot.ru/jpg/1_21_image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pcot.ru/jpg/21_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cot.ru/jpg/1_29_image.jpg" TargetMode="External"/><Relationship Id="rId32" Type="http://schemas.openxmlformats.org/officeDocument/2006/relationships/hyperlink" Target="http://www.pcot.ru/jpg/1_Gornyy_ruchey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pcot.ru/jpg/1_Kafe.jpg" TargetMode="External"/><Relationship Id="rId10" Type="http://schemas.openxmlformats.org/officeDocument/2006/relationships/hyperlink" Target="http://www.pcot.ru/jpg/15161_20100830_190325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pcot.ru/jpg/0_6494a_7b603ab5_XL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ru/jpg/turinsk-6.jpg" TargetMode="External"/><Relationship Id="rId22" Type="http://schemas.openxmlformats.org/officeDocument/2006/relationships/hyperlink" Target="http://www.pcot.ru/jpg/1_38_image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pcot.ru/jpg/1_BIO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2017-08-01T13:33:00Z</dcterms:created>
  <dcterms:modified xsi:type="dcterms:W3CDTF">2017-08-01T13:34:00Z</dcterms:modified>
</cp:coreProperties>
</file>